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2"/>
        <w:spacing w:before="240" w:after="60"/>
        <w:rPr>
          <w:rFonts w:ascii="Liberation Serif" w:hAnsi="Liberation Serif"/>
          <w:i w:val="false"/>
          <w:i w:val="false"/>
          <w:iCs w:val="false"/>
          <w:sz w:val="48"/>
          <w:szCs w:val="48"/>
        </w:rPr>
      </w:pPr>
      <w:bookmarkStart w:id="0" w:name="_Toc261944267"/>
      <w:r>
        <w:rPr>
          <w:rFonts w:ascii="Liberation Serif" w:hAnsi="Liberation Serif"/>
          <w:i w:val="false"/>
          <w:iCs w:val="false"/>
          <w:sz w:val="48"/>
          <w:szCs w:val="48"/>
        </w:rPr>
        <w:t>Popis stávajícího stavu</w:t>
      </w:r>
      <w:bookmarkEnd w:id="0"/>
      <w:r>
        <w:rPr>
          <w:rFonts w:ascii="Liberation Serif" w:hAnsi="Liberation Serif"/>
          <w:i w:val="false"/>
          <w:iCs w:val="false"/>
          <w:sz w:val="48"/>
          <w:szCs w:val="48"/>
        </w:rPr>
        <w:t xml:space="preserve"> IT Města Telč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b/>
        </w:rPr>
        <w:t>1. Serverové místnosti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  <w:t>nám. Zachariáše z Hradce 10 – radnice, šatlava (dvorní trakt)</w:t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serverovna metropolitní sítě – 1.PP, dva racky 42U</w:t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serverovna lokální sítě – 1.PP, jeden rack 42U</w:t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serverovna lokální sítě – 3. NP, jeden rack 42U</w:t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serverovny jsou zabezpečeny EZS s přístupem pouze oprávněných osob, dovybavené síťovými teploměry a klimatizacemi</w:t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v objektu je aktuálně centrální UPS 6000 VA s celoobjektovým rozvodem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  <w:t>nám. Zachariáše z Hradce 70 – odbor finanční</w:t>
      </w:r>
    </w:p>
    <w:p>
      <w:pPr>
        <w:pStyle w:val="Normal"/>
        <w:numPr>
          <w:ilvl w:val="0"/>
          <w:numId w:val="3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serverovna lokální sítě – 2. NP, jeden rack 21U</w:t>
      </w:r>
    </w:p>
    <w:p>
      <w:pPr>
        <w:pStyle w:val="Normal"/>
        <w:numPr>
          <w:ilvl w:val="0"/>
          <w:numId w:val="3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serverovna je zabezpečena EZS s přístupem pouze oprávněných osob, dovybavené síťovými teploměry</w:t>
      </w:r>
    </w:p>
    <w:p>
      <w:pPr>
        <w:pStyle w:val="Normal"/>
        <w:numPr>
          <w:ilvl w:val="0"/>
          <w:numId w:val="3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v místnosti je UPS 500 VA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  <w:t>Na Sádkách 453 – správní odbory</w:t>
      </w:r>
    </w:p>
    <w:p>
      <w:pPr>
        <w:pStyle w:val="Normal"/>
        <w:numPr>
          <w:ilvl w:val="0"/>
          <w:numId w:val="4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serverovna lokální sítě – suterén, dva racky 42U</w:t>
      </w:r>
    </w:p>
    <w:p>
      <w:pPr>
        <w:pStyle w:val="Normal"/>
        <w:numPr>
          <w:ilvl w:val="0"/>
          <w:numId w:val="4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serverovna je zabezpečena EZS s přístupem pouze oprávněných osob, dovybavené síťovými teploměry a klimatizací</w:t>
      </w:r>
    </w:p>
    <w:p>
      <w:pPr>
        <w:pStyle w:val="Normal"/>
        <w:numPr>
          <w:ilvl w:val="0"/>
          <w:numId w:val="4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v objektu je centrální UPS 10000 VA s celoobjektovým rozvodem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  <w:t>Každý prvek SAN typu server nebo DU má obvykle dedikovanou UPS (1000 VA, 1500 VA).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b/>
        </w:rPr>
        <w:t>2. Infrastruktura</w:t>
      </w:r>
    </w:p>
    <w:p>
      <w:pPr>
        <w:pStyle w:val="Normal"/>
        <w:numPr>
          <w:ilvl w:val="0"/>
          <w:numId w:val="5"/>
        </w:numPr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Městský úřad Telč působí ve čtyřech lokalitách (objektech) propojených počítačovou sítí LAN s hvězdicovou topologií.</w:t>
      </w:r>
    </w:p>
    <w:p>
      <w:pPr>
        <w:pStyle w:val="Normal"/>
        <w:numPr>
          <w:ilvl w:val="0"/>
          <w:numId w:val="5"/>
        </w:numPr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Servery jsou umístěny v budovách náměstí Zachariáše z Hradce 10 (hlavní budova úřadu) a Na Sádkách 453.</w:t>
      </w:r>
    </w:p>
    <w:p>
      <w:pPr>
        <w:pStyle w:val="Normal"/>
        <w:numPr>
          <w:ilvl w:val="0"/>
          <w:numId w:val="5"/>
        </w:numPr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Servery jsou provozovány ve virtuálním prostředí VMware vSphere version 6.5.0 a 6.7.0.</w:t>
      </w:r>
    </w:p>
    <w:p>
      <w:pPr>
        <w:pStyle w:val="Normal"/>
        <w:numPr>
          <w:ilvl w:val="0"/>
          <w:numId w:val="5"/>
        </w:numPr>
        <w:rPr>
          <w:rFonts w:ascii="Liberation Serif" w:hAnsi="Liberation Serif"/>
          <w:b/>
          <w:b/>
        </w:rPr>
      </w:pPr>
      <w:r>
        <w:rPr>
          <w:rFonts w:ascii="Liberation Serif" w:hAnsi="Liberation Serif"/>
          <w:color w:val="000000"/>
        </w:rPr>
        <w:t>Zálohovací systém Veeam Backup Essentials Enterprise (v aktuální verzi).</w:t>
      </w:r>
    </w:p>
    <w:p>
      <w:pPr>
        <w:pStyle w:val="Normal"/>
        <w:numPr>
          <w:ilvl w:val="0"/>
          <w:numId w:val="5"/>
        </w:numPr>
        <w:rPr>
          <w:rFonts w:ascii="Liberation Serif" w:hAnsi="Liberation Serif"/>
          <w:b/>
          <w:b/>
        </w:rPr>
      </w:pPr>
      <w:r>
        <w:rPr>
          <w:rFonts w:ascii="Liberation Serif" w:hAnsi="Liberation Serif"/>
          <w:color w:val="000000"/>
        </w:rPr>
        <w:t>Antivirové řešení BitDefender GravityZone.</w:t>
      </w:r>
    </w:p>
    <w:p>
      <w:pPr>
        <w:pStyle w:val="Normal"/>
        <w:rPr>
          <w:rFonts w:ascii="Liberation Serif" w:hAnsi="Liberation Serif"/>
          <w:b/>
          <w:b/>
        </w:rPr>
      </w:pPr>
      <w:r>
        <w:rPr>
          <w:rFonts w:ascii="Liberation Serif" w:hAnsi="Liberation Serif"/>
          <w:b/>
        </w:rPr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b/>
        </w:rPr>
        <w:t>Serverová infrastruktura</w:t>
      </w:r>
    </w:p>
    <w:tbl>
      <w:tblPr>
        <w:tblW w:w="9069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76"/>
        <w:gridCol w:w="3886"/>
        <w:gridCol w:w="2807"/>
      </w:tblGrid>
      <w:tr>
        <w:trPr/>
        <w:tc>
          <w:tcPr>
            <w:tcW w:w="2376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Název</w:t>
            </w:r>
          </w:p>
        </w:tc>
        <w:tc>
          <w:tcPr>
            <w:tcW w:w="3886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Konfigurace</w:t>
            </w:r>
          </w:p>
        </w:tc>
        <w:tc>
          <w:tcPr>
            <w:tcW w:w="2807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Popis</w:t>
            </w:r>
          </w:p>
        </w:tc>
      </w:tr>
      <w:tr>
        <w:trPr/>
        <w:tc>
          <w:tcPr>
            <w:tcW w:w="237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Fujitsu-Siemens Primergy RX300 S6</w:t>
            </w:r>
          </w:p>
        </w:tc>
        <w:tc>
          <w:tcPr>
            <w:tcW w:w="388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2x Intel Xeon E5645 6C/12T @ 2,4 GHz, 96 GB RAM, HDD SAS 2x 450 GB, LAN 4x 1 Gbps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listopad 2011</w:t>
            </w:r>
          </w:p>
        </w:tc>
      </w:tr>
      <w:tr>
        <w:trPr/>
        <w:tc>
          <w:tcPr>
            <w:tcW w:w="237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Fujitsu-Siemens Primergy RX300 S8</w:t>
            </w:r>
          </w:p>
        </w:tc>
        <w:tc>
          <w:tcPr>
            <w:tcW w:w="388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1x Intel Xeon E5205 6C/12T @2,60 GHz, 96 GB RAM, HDD 1x 1000 GB, LAN 6x 1 Gbps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srpen 2015</w:t>
            </w:r>
          </w:p>
        </w:tc>
      </w:tr>
      <w:tr>
        <w:trPr/>
        <w:tc>
          <w:tcPr>
            <w:tcW w:w="237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Fujitsu-Siemens Primergy RX2540 M4</w:t>
            </w:r>
          </w:p>
        </w:tc>
        <w:tc>
          <w:tcPr>
            <w:tcW w:w="388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2x Intel Xeon 4110 16C/32T @2,10 GHz, 192 GB RAM, HDD , LAN 4x 1 Gbps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září 2018</w:t>
            </w:r>
          </w:p>
        </w:tc>
      </w:tr>
      <w:tr>
        <w:trPr/>
        <w:tc>
          <w:tcPr>
            <w:tcW w:w="237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Fujitsu-Siemens Primergy RX2540 M5</w:t>
            </w:r>
          </w:p>
        </w:tc>
        <w:tc>
          <w:tcPr>
            <w:tcW w:w="388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2x Intel Xeon 4215 8C/16T @2,50 GHz, 256 GB RAM, HDD 7x 900 GB, LAN 12x 1 Gbps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říjen 2020</w:t>
            </w:r>
          </w:p>
        </w:tc>
      </w:tr>
      <w:tr>
        <w:trPr/>
        <w:tc>
          <w:tcPr>
            <w:tcW w:w="237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Fujitsu-Siemens Primergy RX2540 M6</w:t>
            </w:r>
          </w:p>
        </w:tc>
        <w:tc>
          <w:tcPr>
            <w:tcW w:w="3886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1x Intel Xeon 4314 16C/32T @2,40 GHz, 96 GB RAM, HDD 2x 450 GB, 4x 8TB, LAN 2x 10 Gbps, 4x 1 Gbps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červen 2022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b/>
        </w:rPr>
        <w:t>Datová infrastruktura</w:t>
      </w:r>
    </w:p>
    <w:tbl>
      <w:tblPr>
        <w:tblW w:w="5000" w:type="pct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24"/>
        <w:gridCol w:w="3025"/>
        <w:gridCol w:w="3023"/>
      </w:tblGrid>
      <w:tr>
        <w:trPr/>
        <w:tc>
          <w:tcPr>
            <w:tcW w:w="3024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Diskové pole</w:t>
            </w:r>
          </w:p>
        </w:tc>
        <w:tc>
          <w:tcPr>
            <w:tcW w:w="3025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Kapacita</w:t>
            </w:r>
          </w:p>
        </w:tc>
        <w:tc>
          <w:tcPr>
            <w:tcW w:w="3023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Datum pořízení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 ETERNUS DX60S2</w:t>
            </w:r>
          </w:p>
        </w:tc>
        <w:tc>
          <w:tcPr>
            <w:tcW w:w="3025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8x 2 TB SAS, RAID6</w:t>
            </w:r>
          </w:p>
        </w:tc>
        <w:tc>
          <w:tcPr>
            <w:tcW w:w="3023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říjen 2013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 ETERNUS DX60S3</w:t>
            </w:r>
          </w:p>
        </w:tc>
        <w:tc>
          <w:tcPr>
            <w:tcW w:w="3025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6x 2 TB NLSAS, RAID6</w:t>
            </w:r>
          </w:p>
        </w:tc>
        <w:tc>
          <w:tcPr>
            <w:tcW w:w="3023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srpen 2015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Fujitsu ETERNUS DX100S4</w:t>
            </w:r>
          </w:p>
        </w:tc>
        <w:tc>
          <w:tcPr>
            <w:tcW w:w="3025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5x 0,6 TB SAS, 6x 2 TB NEAR SAS, 4x 2 TB SSD</w:t>
            </w:r>
          </w:p>
        </w:tc>
        <w:tc>
          <w:tcPr>
            <w:tcW w:w="3023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září 2018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SYNOLOGY RS-818+</w:t>
            </w:r>
          </w:p>
        </w:tc>
        <w:tc>
          <w:tcPr>
            <w:tcW w:w="3025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4x 4 TB RAID5</w:t>
            </w:r>
          </w:p>
        </w:tc>
        <w:tc>
          <w:tcPr>
            <w:tcW w:w="3023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únor 2018</w:t>
            </w:r>
          </w:p>
        </w:tc>
      </w:tr>
      <w:tr>
        <w:trPr/>
        <w:tc>
          <w:tcPr>
            <w:tcW w:w="3024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QNAP TS-431XeU</w:t>
            </w:r>
          </w:p>
        </w:tc>
        <w:tc>
          <w:tcPr>
            <w:tcW w:w="3025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4x 6 TB RAID5</w:t>
            </w:r>
          </w:p>
        </w:tc>
        <w:tc>
          <w:tcPr>
            <w:tcW w:w="3023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Pořízen prosinec 2020</w:t>
            </w:r>
          </w:p>
        </w:tc>
      </w:tr>
    </w:tbl>
    <w:p>
      <w:pPr>
        <w:pStyle w:val="Normal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Pásková knihovna Fujitsu-Siemens LTO20S. Pořízena září 2018.</w:t>
      </w:r>
    </w:p>
    <w:p>
      <w:pPr>
        <w:pStyle w:val="ACOdstavec"/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</w:rPr>
        <w:t>Síťová infrastruktura</w:t>
      </w:r>
    </w:p>
    <w:p>
      <w:pPr>
        <w:pStyle w:val="Normal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Je založena na přepínačích typu HP5130, HP5120, Aruba 2530, ZYXEL GS1900, které jsou umístěny v jednotlivých objektech vzájemně propojených 1Gbit linkami. K Internetu je celá tato infrastruktura připojena redundantně pomocí firewallů Sophos XGS2300 (pořízeny duben 2022).</w:t>
      </w:r>
    </w:p>
    <w:p>
      <w:pPr>
        <w:pStyle w:val="Normal"/>
        <w:rPr>
          <w:rFonts w:ascii="Liberation Serif" w:hAnsi="Liberation Serif"/>
          <w:b/>
          <w:b/>
        </w:rPr>
      </w:pPr>
      <w:r>
        <w:rPr>
          <w:rFonts w:ascii="Liberation Serif" w:hAnsi="Liberation Serif"/>
          <w:b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635</wp:posOffset>
            </wp:positionH>
            <wp:positionV relativeFrom="paragraph">
              <wp:posOffset>412750</wp:posOffset>
            </wp:positionV>
            <wp:extent cx="5760720" cy="4506595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5032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0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b/>
        </w:rPr>
        <w:t>Provozované systémy a aplikace ve virtuálním prostředí</w:t>
      </w:r>
    </w:p>
    <w:p>
      <w:pPr>
        <w:pStyle w:val="Normal"/>
        <w:numPr>
          <w:ilvl w:val="0"/>
          <w:numId w:val="1"/>
        </w:numPr>
        <w:ind w:left="0" w:hanging="0"/>
        <w:rPr>
          <w:rFonts w:ascii="Liberation Serif" w:hAnsi="Liberation Serif"/>
        </w:rPr>
      </w:pPr>
      <w:r>
        <w:rPr>
          <w:rFonts w:ascii="Liberation Serif" w:hAnsi="Liberation Serif"/>
        </w:rPr>
        <w:t>15 x MS Windows Server 2012</w:t>
      </w:r>
    </w:p>
    <w:p>
      <w:pPr>
        <w:pStyle w:val="Normal"/>
        <w:numPr>
          <w:ilvl w:val="0"/>
          <w:numId w:val="1"/>
        </w:numPr>
        <w:ind w:left="0" w:hanging="0"/>
        <w:rPr>
          <w:rFonts w:ascii="Liberation Serif" w:hAnsi="Liberation Serif"/>
        </w:rPr>
      </w:pPr>
      <w:r>
        <w:rPr>
          <w:rFonts w:ascii="Liberation Serif" w:hAnsi="Liberation Serif"/>
        </w:rPr>
        <w:t>7 x MS Windows Server 2016</w:t>
      </w:r>
    </w:p>
    <w:p>
      <w:pPr>
        <w:pStyle w:val="Normal"/>
        <w:numPr>
          <w:ilvl w:val="0"/>
          <w:numId w:val="1"/>
        </w:numPr>
        <w:ind w:left="0" w:hanging="0"/>
        <w:rPr>
          <w:rFonts w:ascii="Liberation Serif" w:hAnsi="Liberation Serif"/>
        </w:rPr>
      </w:pPr>
      <w:r>
        <w:rPr>
          <w:rFonts w:ascii="Liberation Serif" w:hAnsi="Liberation Serif"/>
        </w:rPr>
        <w:t>10 x LINUX server</w:t>
      </w:r>
    </w:p>
    <w:p>
      <w:pPr>
        <w:pStyle w:val="Normal"/>
        <w:numPr>
          <w:ilvl w:val="0"/>
          <w:numId w:val="1"/>
        </w:numPr>
        <w:ind w:left="709" w:hanging="709"/>
        <w:rPr>
          <w:rFonts w:ascii="Liberation Serif" w:hAnsi="Liberation Serif"/>
        </w:rPr>
      </w:pPr>
      <w:r>
        <w:rPr>
          <w:rFonts w:ascii="Liberation Serif" w:hAnsi="Liberation Serif"/>
        </w:rPr>
        <w:t>databázový systém ORACLE v aktuální verzi</w:t>
      </w:r>
    </w:p>
    <w:p>
      <w:pPr>
        <w:pStyle w:val="Normal"/>
        <w:numPr>
          <w:ilvl w:val="0"/>
          <w:numId w:val="1"/>
        </w:numPr>
        <w:ind w:left="709" w:hanging="709"/>
        <w:rPr>
          <w:rFonts w:ascii="Liberation Serif" w:hAnsi="Liberation Serif"/>
        </w:rPr>
      </w:pPr>
      <w:r>
        <w:rPr/>
        <w:t>databázový systém Microsoft SQL Server 2017</w:t>
      </w:r>
    </w:p>
    <w:p>
      <w:pPr>
        <w:pStyle w:val="Normal"/>
        <w:numPr>
          <w:ilvl w:val="0"/>
          <w:numId w:val="1"/>
        </w:numPr>
        <w:ind w:left="0" w:hanging="0"/>
        <w:rPr>
          <w:rFonts w:ascii="Liberation Serif" w:hAnsi="Liberation Serif"/>
        </w:rPr>
      </w:pPr>
      <w:r>
        <w:rPr>
          <w:rFonts w:ascii="Liberation Serif" w:hAnsi="Liberation Serif"/>
        </w:rPr>
        <w:t>Monitoring PRTG (IROP28)</w:t>
      </w:r>
    </w:p>
    <w:p>
      <w:pPr>
        <w:pStyle w:val="Normal"/>
        <w:numPr>
          <w:ilvl w:val="0"/>
          <w:numId w:val="1"/>
        </w:numPr>
        <w:ind w:left="0" w:hanging="0"/>
        <w:rPr>
          <w:rFonts w:ascii="Liberation Serif" w:hAnsi="Liberation Serif"/>
        </w:rPr>
      </w:pPr>
      <w:r>
        <w:rPr>
          <w:rFonts w:ascii="Liberation Serif" w:hAnsi="Liberation Serif"/>
        </w:rPr>
        <w:t>docházkový systém SODAT SW</w:t>
      </w:r>
    </w:p>
    <w:p>
      <w:pPr>
        <w:pStyle w:val="Normal"/>
        <w:numPr>
          <w:ilvl w:val="0"/>
          <w:numId w:val="1"/>
        </w:numPr>
        <w:ind w:left="0" w:hang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terminálové řešení </w:t>
      </w:r>
      <w:r>
        <w:rPr>
          <w:rFonts w:eastAsia="Calibri" w:ascii="Liberation Serif" w:hAnsi="Liberation Serif"/>
        </w:rPr>
        <w:t>Citrix XenDesktop</w:t>
      </w:r>
    </w:p>
    <w:p>
      <w:pPr>
        <w:pStyle w:val="Normal"/>
        <w:numPr>
          <w:ilvl w:val="0"/>
          <w:numId w:val="1"/>
        </w:numPr>
        <w:ind w:left="0" w:hanging="0"/>
        <w:rPr>
          <w:rFonts w:ascii="Liberation Serif" w:hAnsi="Liberation Serif"/>
        </w:rPr>
      </w:pPr>
      <w:r>
        <w:rPr>
          <w:rFonts w:eastAsia="Calibri" w:ascii="Liberation Serif" w:hAnsi="Liberation Serif"/>
        </w:rPr>
        <w:t>poštovní server Exchange 2016</w:t>
      </w:r>
    </w:p>
    <w:tbl>
      <w:tblPr>
        <w:tblW w:w="590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19"/>
        <w:gridCol w:w="1403"/>
        <w:gridCol w:w="1983"/>
        <w:gridCol w:w="1794"/>
      </w:tblGrid>
      <w:tr>
        <w:trPr>
          <w:trHeight w:val="29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OS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Účel</w:t>
            </w:r>
          </w:p>
        </w:tc>
        <w:tc>
          <w:tcPr>
            <w:tcW w:w="1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FS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terminalserver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VM3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terminalserver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VM4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terminalserver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VM5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terminalserver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VM6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terminalserver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VM7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webserver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VM8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Backup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VEEAM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VM9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Databázový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IS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VM10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DC1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VM11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DC2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VM12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Fileserver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VM13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Monitoring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PRTG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VM14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Monitoring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VM15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WIN_2012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OD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VM16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DS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VM17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FTP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VM18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KS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VM19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terminalserver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VM20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terminalserver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VM21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webserver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VM22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WIN_2016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mailserver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VM23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Antivir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BD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VM24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Antivir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BD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VM25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Antivir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BD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VM26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Antivir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BD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VM27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firewall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VM28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webserver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VM29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Aplikační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webserver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VM30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Databázový server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intranet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VM31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Vmware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290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VM32</w:t>
            </w:r>
          </w:p>
        </w:tc>
        <w:tc>
          <w:tcPr>
            <w:tcW w:w="14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LINUX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Monitoring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DUDE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rPr>
          <w:rFonts w:ascii="Liberation Serif" w:hAnsi="Liberation Serif"/>
          <w:b/>
          <w:b/>
          <w:bCs/>
        </w:rPr>
      </w:pPr>
      <w:r>
        <w:rPr>
          <w:rFonts w:ascii="Liberation Serif" w:hAnsi="Liberation Serif"/>
          <w:b/>
          <w:bCs/>
        </w:rPr>
        <w:t>Telefonní ústředna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  <w:t>Telefonní ústředna Yeastar S100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  <w:t>Pobočkové telefony 11x Yealink SIP-T29G, 52x Yealink SIP-T21P a 2x Yealink SIP-T31P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9069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91"/>
        <w:gridCol w:w="7277"/>
      </w:tblGrid>
      <w:tr>
        <w:trPr/>
        <w:tc>
          <w:tcPr>
            <w:tcW w:w="1791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Název</w:t>
            </w:r>
          </w:p>
        </w:tc>
        <w:tc>
          <w:tcPr>
            <w:tcW w:w="7277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Popis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GINIS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Páteřní agendový informační systém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OVZDUSI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Evidence znečišťovatelů ovzduší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EVI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Evidence odpadů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ESPI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Evidence správních řízení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EMY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Evidence myslivosti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VITA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Stavební úřad, Vodoprávní úřad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HELETAX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Prohlížečka LHO a LHP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ISVAK IS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Majetková a provozní evidence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EVPE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Vodoprávní evidence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SSB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Evidence bytů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GIS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Geografický informační systém</w:t>
            </w:r>
          </w:p>
        </w:tc>
      </w:tr>
      <w:tr>
        <w:trPr/>
        <w:tc>
          <w:tcPr>
            <w:tcW w:w="179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WEB</w:t>
            </w:r>
          </w:p>
        </w:tc>
        <w:tc>
          <w:tcPr>
            <w:tcW w:w="727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Webová prezentace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Veškeré aplikační vybavení a informační systémy úřadu jsou založeny na platformě Microsoft (výčet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důležitých agendových informačních systémů a jejich dodavatelů - GINIS (ADM Základní administrace,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ADE Ekonomická administrace, ADK Správa kartotéky ext. subjektů, ADR Administrace účt.rozvrhů a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číselníků, UCR Sumarizace rozpočtu a účetnictví, BAR Návrh a balancování rozpočtu, ADA Plán akcí,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ROZ Pořizovač rozpočtových dokladů, UCT Pořizovač účetních dokladů, INU Interface účetnictví a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rozpočtu, FUC Finanční účtárna, BUC Komunikace s bankou, KDF Kniha došlých faktur, POU Poukazy,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KOF Kniha odeslaných faktur, PRE Převodní poukazy, POK Pokladna, DDP Daně,dávky,poplatky a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pohledávky, SML Smlouvy, MAJ Majetek (EMA+SKL), INM Inventarizace majetku, ROB Registr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obyvatel, ROV Registr obyvatel - akce, volby, MTK Matrika, PRR Přestupkové řízení, Propojení XRG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SSL, USU Univerzální spisový uzel, POD Podatelna, VYP Výpravna, INT Interface GINIS (propojení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na Hmotnou nouzi a sociální služby), SPI Spisovna, SUD Správa uložených dokumentů, IDS Aplikační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internetová brána, GINIS – ADM – jádro IS, základní administrace, ZUD Zpracování událostí, databáze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Oracle (licence ASFU – pro jednu aplikaci), Gordic, spol. s r. o.), OvzdušíSQL pro ORP - Evidence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znečišťovatelů ovzduší (Kvasar, spol. s r. o.), EVI - evidence odpadů, ESPI - evidence správních řízení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(obě INISOFT, s. r. o.), Evidence myslivosti (YAMACO Software, s. r. o.), Stavební úřad (VITA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software, s. r. o.), ISVAK – Formuláře VUMPE VAK (Hydroprojekt CZ, a. s.), eVPE - Editor vodoprávní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evidence (MGEDATA, s. r. o.), HELETAX (Topol Pro, s. r. o.), OptimiDOC (OptimiDoc, s. r. o.),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FormServer (Software602), AuditPro (trueconneXion, a. s.), Docházka M.S.O. (Jaromír Karmazín –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0"/>
        </w:rPr>
        <w:t>M.S.O.)).</w:t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9069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98"/>
        <w:gridCol w:w="4370"/>
      </w:tblGrid>
      <w:tr>
        <w:trPr/>
        <w:tc>
          <w:tcPr>
            <w:tcW w:w="4698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Předmět</w:t>
            </w:r>
          </w:p>
        </w:tc>
        <w:tc>
          <w:tcPr>
            <w:tcW w:w="4370" w:type="dxa"/>
            <w:tcBorders/>
            <w:shd w:color="auto" w:fill="FF0000" w:val="clear"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  <w:b/>
                <w:b/>
                <w:color w:val="FFFFFF"/>
              </w:rPr>
            </w:pPr>
            <w:r>
              <w:rPr>
                <w:rFonts w:eastAsia="Calibri" w:ascii="Liberation Serif" w:hAnsi="Liberation Serif"/>
                <w:b/>
                <w:color w:val="FFFFFF"/>
              </w:rPr>
              <w:t>Počet</w:t>
            </w:r>
          </w:p>
        </w:tc>
      </w:tr>
      <w:tr>
        <w:trPr/>
        <w:tc>
          <w:tcPr>
            <w:tcW w:w="469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celkový počet zaměstnanců</w:t>
            </w:r>
          </w:p>
        </w:tc>
        <w:tc>
          <w:tcPr>
            <w:tcW w:w="4370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60</w:t>
            </w:r>
          </w:p>
        </w:tc>
      </w:tr>
      <w:tr>
        <w:trPr/>
        <w:tc>
          <w:tcPr>
            <w:tcW w:w="469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celkový počet odborů</w:t>
            </w:r>
          </w:p>
        </w:tc>
        <w:tc>
          <w:tcPr>
            <w:tcW w:w="4370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8</w:t>
            </w:r>
          </w:p>
        </w:tc>
      </w:tr>
      <w:tr>
        <w:trPr/>
        <w:tc>
          <w:tcPr>
            <w:tcW w:w="469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celkový počet PC úřadu</w:t>
            </w:r>
          </w:p>
        </w:tc>
        <w:tc>
          <w:tcPr>
            <w:tcW w:w="4370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109</w:t>
            </w:r>
          </w:p>
        </w:tc>
      </w:tr>
      <w:tr>
        <w:trPr/>
        <w:tc>
          <w:tcPr>
            <w:tcW w:w="469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celkový počet serverů (fyzické stroje)</w:t>
            </w:r>
          </w:p>
        </w:tc>
        <w:tc>
          <w:tcPr>
            <w:tcW w:w="4370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HW 3 / VM 18 (vč. appliance)</w:t>
            </w:r>
          </w:p>
        </w:tc>
      </w:tr>
      <w:tr>
        <w:trPr/>
        <w:tc>
          <w:tcPr>
            <w:tcW w:w="469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celkový počet informatiků</w:t>
            </w:r>
          </w:p>
        </w:tc>
        <w:tc>
          <w:tcPr>
            <w:tcW w:w="4370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eastAsia="Calibri"/>
              </w:rPr>
            </w:pPr>
            <w:r>
              <w:rPr>
                <w:rFonts w:eastAsia="Calibri" w:ascii="Liberation Serif" w:hAnsi="Liberation Serif"/>
              </w:rPr>
              <w:t>3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rPr>
          <w:rFonts w:ascii="Liberation Serif" w:hAnsi="Liberation Serif"/>
        </w:rPr>
      </w:pPr>
      <w:r>
        <w:rPr/>
      </w:r>
    </w:p>
    <w:sectPr>
      <w:type w:val="nextPage"/>
      <w:pgSz w:w="11906" w:h="16838"/>
      <w:pgMar w:left="1417" w:right="1417" w:gutter="0" w:header="0" w:top="851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75a1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cs-CZ" w:val="cs-CZ" w:bidi="ar-SA"/>
    </w:rPr>
  </w:style>
  <w:style w:type="paragraph" w:styleId="Nadpis1">
    <w:name w:val="Heading 1"/>
    <w:basedOn w:val="Normal"/>
    <w:next w:val="Normal"/>
    <w:link w:val="Nadpis1Char"/>
    <w:uiPriority w:val="99"/>
    <w:qFormat/>
    <w:rsid w:val="00b75a1d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al"/>
    <w:next w:val="Normal"/>
    <w:link w:val="Nadpis2Char"/>
    <w:uiPriority w:val="99"/>
    <w:qFormat/>
    <w:rsid w:val="00b75a1d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link w:val="Nadpis3Char"/>
    <w:uiPriority w:val="99"/>
    <w:qFormat/>
    <w:rsid w:val="00b75a1d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uiPriority w:val="99"/>
    <w:qFormat/>
    <w:rsid w:val="00b75a1d"/>
    <w:rPr>
      <w:rFonts w:ascii="Arial" w:hAnsi="Arial" w:eastAsia="Times New Roman" w:cs="Arial"/>
      <w:b/>
      <w:bCs/>
      <w:kern w:val="2"/>
      <w:sz w:val="32"/>
      <w:szCs w:val="32"/>
      <w:lang w:eastAsia="cs-CZ"/>
    </w:rPr>
  </w:style>
  <w:style w:type="character" w:styleId="Nadpis2Char" w:customStyle="1">
    <w:name w:val="Nadpis 2 Char"/>
    <w:basedOn w:val="DefaultParagraphFont"/>
    <w:uiPriority w:val="99"/>
    <w:qFormat/>
    <w:rsid w:val="00b75a1d"/>
    <w:rPr>
      <w:rFonts w:ascii="Arial" w:hAnsi="Arial" w:eastAsia="Times New Roman" w:cs="Arial"/>
      <w:b/>
      <w:bCs/>
      <w:i/>
      <w:iCs/>
      <w:sz w:val="28"/>
      <w:szCs w:val="28"/>
      <w:lang w:eastAsia="cs-CZ"/>
    </w:rPr>
  </w:style>
  <w:style w:type="character" w:styleId="Nadpis3Char" w:customStyle="1">
    <w:name w:val="Nadpis 3 Char"/>
    <w:basedOn w:val="DefaultParagraphFont"/>
    <w:uiPriority w:val="99"/>
    <w:qFormat/>
    <w:rsid w:val="00b75a1d"/>
    <w:rPr>
      <w:rFonts w:ascii="Arial" w:hAnsi="Arial" w:eastAsia="Times New Roman" w:cs="Arial"/>
      <w:b/>
      <w:bCs/>
      <w:sz w:val="26"/>
      <w:szCs w:val="26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b75a1d"/>
    <w:rPr>
      <w:rFonts w:ascii="Tahoma" w:hAnsi="Tahoma" w:eastAsia="Times New Roman" w:cs="Tahoma"/>
      <w:sz w:val="16"/>
      <w:szCs w:val="16"/>
      <w:lang w:eastAsia="cs-CZ"/>
    </w:rPr>
  </w:style>
  <w:style w:type="character" w:styleId="ZhlavChar" w:customStyle="1">
    <w:name w:val="Záhlaví Char"/>
    <w:basedOn w:val="DefaultParagraphFont"/>
    <w:uiPriority w:val="99"/>
    <w:qFormat/>
    <w:rsid w:val="004b105c"/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4b105c"/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Odrky" w:customStyle="1">
    <w:name w:val="Odrážky"/>
    <w:qFormat/>
    <w:rPr>
      <w:rFonts w:ascii="OpenSymbol" w:hAnsi="OpenSymbol" w:eastAsia="OpenSymbol" w:cs="OpenSymbol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75a1d"/>
    <w:pPr/>
    <w:rPr>
      <w:rFonts w:ascii="Tahoma" w:hAnsi="Tahoma" w:cs="Tahoma"/>
      <w:sz w:val="16"/>
      <w:szCs w:val="16"/>
    </w:rPr>
  </w:style>
  <w:style w:type="paragraph" w:styleId="Zhlavazpat" w:customStyle="1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4b105c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4b105c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d64d27"/>
    <w:pPr>
      <w:spacing w:before="0" w:after="0"/>
      <w:ind w:left="720" w:hanging="0"/>
      <w:contextualSpacing/>
    </w:pPr>
    <w:rPr/>
  </w:style>
  <w:style w:type="paragraph" w:styleId="ACOdstavec" w:customStyle="1">
    <w:name w:val="AC Odstavec"/>
    <w:basedOn w:val="Normal"/>
    <w:qFormat/>
    <w:rsid w:val="002c6098"/>
    <w:pPr>
      <w:spacing w:before="0" w:after="120"/>
      <w:jc w:val="both"/>
    </w:pPr>
    <w:rPr>
      <w:rFonts w:ascii="Calibri" w:hAnsi="Calibri"/>
      <w:sz w:val="22"/>
      <w:szCs w:val="20"/>
    </w:rPr>
  </w:style>
  <w:style w:type="paragraph" w:styleId="Revision">
    <w:name w:val="Revision"/>
    <w:uiPriority w:val="99"/>
    <w:semiHidden/>
    <w:qFormat/>
    <w:rsid w:val="00132906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cs-CZ" w:val="cs-CZ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LibreOffice/7.4.5.1$Windows_X86_64 LibreOffice_project/9c0871452b3918c1019dde9bfac75448afc4b57f</Application>
  <AppVersion>15.0000</AppVersion>
  <Pages>4</Pages>
  <Words>1017</Words>
  <Characters>5772</Characters>
  <CharactersWithSpaces>6523</CharactersWithSpaces>
  <Paragraphs>266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2022-09-29T07:38:00Z</dcterms:created>
  <dc:creator>"Jan Števko"</dc:creator>
  <dc:description/>
  <dc:language>cs-CZ</dc:language>
  <cp:lastModifiedBy/>
  <dcterms:modified xsi:type="dcterms:W3CDTF">2025-02-14T10:47:10Z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